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648" w:rsidRDefault="00065B61">
      <w:pPr>
        <w:jc w:val="center"/>
        <w:rPr>
          <w:rFonts w:ascii="宋体" w:hAnsi="宋体" w:cs="宋体"/>
          <w:b/>
          <w:kern w:val="0"/>
          <w:sz w:val="40"/>
          <w:szCs w:val="40"/>
        </w:rPr>
      </w:pPr>
      <w:r>
        <w:rPr>
          <w:rFonts w:ascii="宋体" w:hAnsi="宋体" w:cs="宋体" w:hint="eastAsia"/>
          <w:b/>
          <w:kern w:val="0"/>
          <w:sz w:val="40"/>
          <w:szCs w:val="40"/>
        </w:rPr>
        <w:t>2018年重点排污企业事业单位环境信息公开表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20"/>
        <w:gridCol w:w="587"/>
        <w:gridCol w:w="600"/>
        <w:gridCol w:w="433"/>
        <w:gridCol w:w="21"/>
        <w:gridCol w:w="425"/>
        <w:gridCol w:w="709"/>
        <w:gridCol w:w="947"/>
        <w:gridCol w:w="598"/>
        <w:gridCol w:w="1440"/>
        <w:gridCol w:w="1620"/>
      </w:tblGrid>
      <w:tr w:rsidR="003B0648" w:rsidTr="00CD529B">
        <w:trPr>
          <w:trHeight w:val="509"/>
          <w:jc w:val="center"/>
        </w:trPr>
        <w:tc>
          <w:tcPr>
            <w:tcW w:w="216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单位名称</w:t>
            </w:r>
          </w:p>
        </w:tc>
        <w:tc>
          <w:tcPr>
            <w:tcW w:w="5040" w:type="dxa"/>
            <w:gridSpan w:val="9"/>
            <w:vAlign w:val="center"/>
          </w:tcPr>
          <w:p w:rsidR="00537B6A" w:rsidRDefault="00537B6A" w:rsidP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中国石油化工股份有限公司</w:t>
            </w:r>
          </w:p>
          <w:p w:rsidR="003B0648" w:rsidRDefault="00537B6A" w:rsidP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齐鲁分公司第二化肥厂</w:t>
            </w:r>
          </w:p>
        </w:tc>
        <w:tc>
          <w:tcPr>
            <w:tcW w:w="144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统一社会 信用代码</w:t>
            </w:r>
          </w:p>
        </w:tc>
        <w:tc>
          <w:tcPr>
            <w:tcW w:w="1620" w:type="dxa"/>
            <w:vAlign w:val="center"/>
          </w:tcPr>
          <w:p w:rsidR="003B0648" w:rsidRDefault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91370305723267788H</w:t>
            </w:r>
          </w:p>
        </w:tc>
      </w:tr>
      <w:tr w:rsidR="003B0648" w:rsidTr="00FD568C">
        <w:trPr>
          <w:trHeight w:val="1000"/>
          <w:jc w:val="center"/>
        </w:trPr>
        <w:tc>
          <w:tcPr>
            <w:tcW w:w="216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所属行政</w:t>
            </w:r>
          </w:p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区域</w:t>
            </w:r>
          </w:p>
        </w:tc>
        <w:tc>
          <w:tcPr>
            <w:tcW w:w="1307" w:type="dxa"/>
            <w:gridSpan w:val="2"/>
            <w:vAlign w:val="center"/>
          </w:tcPr>
          <w:p w:rsidR="003B0648" w:rsidRDefault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临淄区</w:t>
            </w:r>
          </w:p>
        </w:tc>
        <w:tc>
          <w:tcPr>
            <w:tcW w:w="1479" w:type="dxa"/>
            <w:gridSpan w:val="4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经纬度</w:t>
            </w:r>
          </w:p>
        </w:tc>
        <w:tc>
          <w:tcPr>
            <w:tcW w:w="2254" w:type="dxa"/>
            <w:gridSpan w:val="3"/>
            <w:vAlign w:val="center"/>
          </w:tcPr>
          <w:p w:rsidR="003B0648" w:rsidRDefault="00FD568C" w:rsidP="00FD568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经度</w:t>
            </w:r>
            <w:r w:rsidR="006E1ED9" w:rsidRPr="006E1ED9">
              <w:rPr>
                <w:rFonts w:ascii="仿宋_GB2312" w:eastAsia="仿宋_GB2312" w:hAnsi="仿宋_GB2312" w:cs="仿宋_GB2312"/>
                <w:sz w:val="24"/>
              </w:rPr>
              <w:t>118 °8′50″</w:t>
            </w:r>
          </w:p>
          <w:p w:rsidR="006E1ED9" w:rsidRDefault="006E1ED9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纬度：</w:t>
            </w:r>
            <w:r w:rsidRPr="006E1ED9">
              <w:rPr>
                <w:rFonts w:ascii="仿宋_GB2312" w:eastAsia="仿宋_GB2312" w:hAnsi="仿宋_GB2312" w:cs="仿宋_GB2312"/>
                <w:sz w:val="24"/>
              </w:rPr>
              <w:t>36°44′0″</w:t>
            </w:r>
          </w:p>
        </w:tc>
        <w:tc>
          <w:tcPr>
            <w:tcW w:w="144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排污许可证编码</w:t>
            </w:r>
          </w:p>
        </w:tc>
        <w:tc>
          <w:tcPr>
            <w:tcW w:w="1620" w:type="dxa"/>
            <w:vAlign w:val="center"/>
          </w:tcPr>
          <w:p w:rsidR="003B0648" w:rsidRDefault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91370305723267788H001P</w:t>
            </w:r>
          </w:p>
        </w:tc>
      </w:tr>
      <w:tr w:rsidR="003B0648" w:rsidRPr="00FD568C" w:rsidTr="00FD568C">
        <w:trPr>
          <w:trHeight w:val="509"/>
          <w:jc w:val="center"/>
        </w:trPr>
        <w:tc>
          <w:tcPr>
            <w:tcW w:w="216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污染源管理级别</w:t>
            </w:r>
          </w:p>
        </w:tc>
        <w:tc>
          <w:tcPr>
            <w:tcW w:w="72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</w:t>
            </w:r>
          </w:p>
        </w:tc>
        <w:tc>
          <w:tcPr>
            <w:tcW w:w="587" w:type="dxa"/>
            <w:vAlign w:val="center"/>
          </w:tcPr>
          <w:p w:rsidR="003B0648" w:rsidRDefault="003B064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0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气</w:t>
            </w:r>
          </w:p>
        </w:tc>
        <w:tc>
          <w:tcPr>
            <w:tcW w:w="454" w:type="dxa"/>
            <w:gridSpan w:val="2"/>
            <w:vAlign w:val="center"/>
          </w:tcPr>
          <w:p w:rsidR="003B0648" w:rsidRDefault="003B064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土</w:t>
            </w:r>
          </w:p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壤</w:t>
            </w:r>
            <w:proofErr w:type="gramEnd"/>
          </w:p>
        </w:tc>
        <w:tc>
          <w:tcPr>
            <w:tcW w:w="709" w:type="dxa"/>
            <w:vAlign w:val="center"/>
          </w:tcPr>
          <w:p w:rsidR="003B0648" w:rsidRDefault="003B064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7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</w:t>
            </w:r>
          </w:p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他</w:t>
            </w:r>
          </w:p>
        </w:tc>
        <w:tc>
          <w:tcPr>
            <w:tcW w:w="598" w:type="dxa"/>
            <w:vAlign w:val="center"/>
          </w:tcPr>
          <w:p w:rsidR="003B0648" w:rsidRDefault="006E1ED9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√</w:t>
            </w:r>
          </w:p>
        </w:tc>
        <w:tc>
          <w:tcPr>
            <w:tcW w:w="144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行业类别</w:t>
            </w:r>
          </w:p>
        </w:tc>
        <w:tc>
          <w:tcPr>
            <w:tcW w:w="1620" w:type="dxa"/>
            <w:vAlign w:val="center"/>
          </w:tcPr>
          <w:p w:rsidR="003B0648" w:rsidRDefault="00537B6A" w:rsidP="00590C3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有机</w:t>
            </w:r>
            <w:r w:rsidR="00590C36" w:rsidRPr="00FD568C">
              <w:rPr>
                <w:rFonts w:ascii="仿宋_GB2312" w:eastAsia="仿宋_GB2312" w:hAnsi="仿宋_GB2312" w:cs="仿宋_GB2312" w:hint="eastAsia"/>
                <w:sz w:val="24"/>
              </w:rPr>
              <w:t>化学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原料制造</w:t>
            </w:r>
          </w:p>
        </w:tc>
      </w:tr>
      <w:tr w:rsidR="003B0648" w:rsidRPr="00FD568C" w:rsidTr="00CD529B">
        <w:trPr>
          <w:trHeight w:val="289"/>
          <w:jc w:val="center"/>
        </w:trPr>
        <w:tc>
          <w:tcPr>
            <w:tcW w:w="216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单位地址</w:t>
            </w:r>
          </w:p>
        </w:tc>
        <w:tc>
          <w:tcPr>
            <w:tcW w:w="5040" w:type="dxa"/>
            <w:gridSpan w:val="9"/>
            <w:vAlign w:val="center"/>
          </w:tcPr>
          <w:p w:rsidR="003B0648" w:rsidRDefault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淄博市临淄区辛化路8号</w:t>
            </w:r>
          </w:p>
        </w:tc>
        <w:tc>
          <w:tcPr>
            <w:tcW w:w="144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620" w:type="dxa"/>
            <w:vAlign w:val="center"/>
          </w:tcPr>
          <w:p w:rsidR="003B0648" w:rsidRDefault="00537B6A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255400</w:t>
            </w:r>
          </w:p>
        </w:tc>
      </w:tr>
      <w:tr w:rsidR="00396A66" w:rsidRPr="00FD568C" w:rsidTr="00573986">
        <w:trPr>
          <w:trHeight w:val="334"/>
          <w:jc w:val="center"/>
        </w:trPr>
        <w:tc>
          <w:tcPr>
            <w:tcW w:w="216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法定代表人</w:t>
            </w:r>
          </w:p>
        </w:tc>
        <w:tc>
          <w:tcPr>
            <w:tcW w:w="5040" w:type="dxa"/>
            <w:gridSpan w:val="9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孙冠嵩</w:t>
            </w:r>
          </w:p>
        </w:tc>
        <w:tc>
          <w:tcPr>
            <w:tcW w:w="144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7588926</w:t>
            </w:r>
          </w:p>
        </w:tc>
      </w:tr>
      <w:tr w:rsidR="00396A66" w:rsidTr="00950E48">
        <w:trPr>
          <w:trHeight w:val="304"/>
          <w:jc w:val="center"/>
        </w:trPr>
        <w:tc>
          <w:tcPr>
            <w:tcW w:w="216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环保负责人</w:t>
            </w:r>
          </w:p>
        </w:tc>
        <w:tc>
          <w:tcPr>
            <w:tcW w:w="5040" w:type="dxa"/>
            <w:gridSpan w:val="9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宋道宏</w:t>
            </w:r>
          </w:p>
        </w:tc>
        <w:tc>
          <w:tcPr>
            <w:tcW w:w="144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396A66" w:rsidRDefault="00396A6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7583251</w:t>
            </w:r>
          </w:p>
        </w:tc>
      </w:tr>
      <w:tr w:rsidR="003B0648" w:rsidRPr="00FD568C" w:rsidTr="00FD568C">
        <w:trPr>
          <w:trHeight w:val="530"/>
          <w:jc w:val="center"/>
        </w:trPr>
        <w:tc>
          <w:tcPr>
            <w:tcW w:w="2160" w:type="dxa"/>
            <w:vAlign w:val="center"/>
          </w:tcPr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主要产品名称</w:t>
            </w:r>
          </w:p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及规模</w:t>
            </w:r>
          </w:p>
        </w:tc>
        <w:tc>
          <w:tcPr>
            <w:tcW w:w="8100" w:type="dxa"/>
            <w:gridSpan w:val="11"/>
            <w:vAlign w:val="center"/>
          </w:tcPr>
          <w:p w:rsidR="00537B6A" w:rsidRPr="00FD568C" w:rsidRDefault="00537B6A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氢气：设计生产能力5万Nm</w:t>
            </w:r>
            <w:r w:rsidRPr="00FD568C">
              <w:rPr>
                <w:rFonts w:ascii="Calibri" w:eastAsia="仿宋_GB2312" w:hAnsi="Calibri" w:cs="Calibri"/>
                <w:sz w:val="24"/>
              </w:rPr>
              <w:t>³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/h</w:t>
            </w:r>
            <w:r w:rsidR="00FD568C" w:rsidRPr="00FD568C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辛醇：设计生产能力25.62万t/a</w:t>
            </w:r>
          </w:p>
          <w:p w:rsidR="003B0648" w:rsidRDefault="00537B6A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丁醇：设计生产能力5.0万t/a</w:t>
            </w:r>
          </w:p>
        </w:tc>
      </w:tr>
      <w:tr w:rsidR="003B0648" w:rsidRPr="00FD568C" w:rsidTr="00CD529B">
        <w:trPr>
          <w:trHeight w:val="1434"/>
          <w:jc w:val="center"/>
        </w:trPr>
        <w:tc>
          <w:tcPr>
            <w:tcW w:w="2160" w:type="dxa"/>
            <w:vAlign w:val="center"/>
          </w:tcPr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主要污染物名称</w:t>
            </w:r>
          </w:p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及排放方式</w:t>
            </w:r>
          </w:p>
        </w:tc>
        <w:tc>
          <w:tcPr>
            <w:tcW w:w="8100" w:type="dxa"/>
            <w:gridSpan w:val="11"/>
            <w:vAlign w:val="center"/>
          </w:tcPr>
          <w:p w:rsidR="00537B6A" w:rsidRPr="00FD568C" w:rsidRDefault="00537B6A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污水：</w:t>
            </w:r>
            <w:r w:rsidR="00396A66" w:rsidRPr="00FD568C">
              <w:rPr>
                <w:rFonts w:ascii="仿宋_GB2312" w:eastAsia="仿宋_GB2312" w:hAnsi="仿宋_GB2312" w:cs="仿宋_GB2312" w:hint="eastAsia"/>
                <w:sz w:val="24"/>
              </w:rPr>
              <w:t>排入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供排水厂乙烯污水处理场处理</w:t>
            </w:r>
            <w:r w:rsidR="00396A66" w:rsidRPr="00FD568C">
              <w:rPr>
                <w:rFonts w:ascii="仿宋_GB2312" w:eastAsia="仿宋_GB2312" w:hAnsi="仿宋_GB2312" w:cs="仿宋_GB2312" w:hint="eastAsia"/>
                <w:sz w:val="24"/>
              </w:rPr>
              <w:t>达标后排放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  <w:p w:rsidR="00537B6A" w:rsidRPr="00FD568C" w:rsidRDefault="00537B6A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废气：通过RTO尾气治理装置处置和火炬燃烧处理合格后排放。</w:t>
            </w:r>
          </w:p>
          <w:p w:rsidR="003B0648" w:rsidRDefault="00537B6A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固废：气化灰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渣委托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淄博市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鑫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亚工贸有限公司综合利用，丁辛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醇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残液委托淄博诺奥化工有限公司处理，废催化剂委托淄博齐力有色金属冶炼有限公司处理</w:t>
            </w:r>
            <w:r w:rsidR="00C376E4" w:rsidRPr="00FD568C">
              <w:rPr>
                <w:rFonts w:ascii="仿宋_GB2312" w:eastAsia="仿宋_GB2312" w:hAnsi="仿宋_GB2312" w:cs="仿宋_GB2312" w:hint="eastAsia"/>
                <w:sz w:val="24"/>
              </w:rPr>
              <w:t>等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</w:tr>
      <w:tr w:rsidR="003B0648" w:rsidRPr="00FD568C" w:rsidTr="00FD568C">
        <w:trPr>
          <w:trHeight w:val="564"/>
          <w:jc w:val="center"/>
        </w:trPr>
        <w:tc>
          <w:tcPr>
            <w:tcW w:w="2160" w:type="dxa"/>
            <w:vAlign w:val="center"/>
          </w:tcPr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排放口的数量</w:t>
            </w:r>
          </w:p>
          <w:p w:rsidR="003B0648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及分布</w:t>
            </w:r>
          </w:p>
        </w:tc>
        <w:tc>
          <w:tcPr>
            <w:tcW w:w="8100" w:type="dxa"/>
            <w:gridSpan w:val="11"/>
            <w:vAlign w:val="center"/>
          </w:tcPr>
          <w:p w:rsidR="003B0648" w:rsidRPr="00FD568C" w:rsidRDefault="00396A66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废气排放口：全厂共</w:t>
            </w:r>
            <w:r w:rsidR="00F44CB9" w:rsidRPr="00FD568C">
              <w:rPr>
                <w:rFonts w:ascii="仿宋_GB2312" w:eastAsia="仿宋_GB2312" w:hAnsi="仿宋_GB2312" w:cs="仿宋_GB2312" w:hint="eastAsia"/>
                <w:sz w:val="24"/>
              </w:rPr>
              <w:t>3个，其中丁辛醇车间RTO废气治理设施排放口1个、</w:t>
            </w:r>
            <w:r w:rsidR="00026550" w:rsidRPr="00FD568C">
              <w:rPr>
                <w:rFonts w:ascii="仿宋_GB2312" w:eastAsia="仿宋_GB2312" w:hAnsi="仿宋_GB2312" w:cs="仿宋_GB2312" w:hint="eastAsia"/>
                <w:sz w:val="24"/>
              </w:rPr>
              <w:t>丁辛</w:t>
            </w:r>
            <w:proofErr w:type="gramStart"/>
            <w:r w:rsidR="00026550" w:rsidRPr="00FD568C">
              <w:rPr>
                <w:rFonts w:ascii="仿宋_GB2312" w:eastAsia="仿宋_GB2312" w:hAnsi="仿宋_GB2312" w:cs="仿宋_GB2312" w:hint="eastAsia"/>
                <w:sz w:val="24"/>
              </w:rPr>
              <w:t>醇</w:t>
            </w:r>
            <w:proofErr w:type="gramEnd"/>
            <w:r w:rsidR="00F44CB9" w:rsidRPr="00FD568C">
              <w:rPr>
                <w:rFonts w:ascii="仿宋_GB2312" w:eastAsia="仿宋_GB2312" w:hAnsi="仿宋_GB2312" w:cs="仿宋_GB2312" w:hint="eastAsia"/>
                <w:sz w:val="24"/>
              </w:rPr>
              <w:t>车间火炬1个</w:t>
            </w:r>
            <w:r w:rsidR="00026550" w:rsidRPr="00FD568C">
              <w:rPr>
                <w:rFonts w:ascii="仿宋_GB2312" w:eastAsia="仿宋_GB2312" w:hAnsi="仿宋_GB2312" w:cs="仿宋_GB2312" w:hint="eastAsia"/>
                <w:sz w:val="24"/>
              </w:rPr>
              <w:t>、气体联合车间火炬1个</w:t>
            </w:r>
            <w:r w:rsidR="00F44CB9" w:rsidRPr="00FD568C">
              <w:rPr>
                <w:rFonts w:ascii="仿宋_GB2312" w:eastAsia="仿宋_GB2312" w:hAnsi="仿宋_GB2312" w:cs="仿宋_GB2312" w:hint="eastAsia"/>
                <w:sz w:val="24"/>
              </w:rPr>
              <w:t>；</w:t>
            </w:r>
          </w:p>
        </w:tc>
      </w:tr>
      <w:tr w:rsidR="003B0648" w:rsidRPr="00FD568C" w:rsidTr="00FD568C">
        <w:trPr>
          <w:trHeight w:val="3647"/>
          <w:jc w:val="center"/>
        </w:trPr>
        <w:tc>
          <w:tcPr>
            <w:tcW w:w="2160" w:type="dxa"/>
            <w:vAlign w:val="center"/>
          </w:tcPr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污染物排放浓度</w:t>
            </w:r>
          </w:p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及排放总量</w:t>
            </w:r>
          </w:p>
        </w:tc>
        <w:tc>
          <w:tcPr>
            <w:tcW w:w="2786" w:type="dxa"/>
            <w:gridSpan w:val="6"/>
            <w:vAlign w:val="center"/>
          </w:tcPr>
          <w:p w:rsidR="003B0648" w:rsidRPr="00FD568C" w:rsidRDefault="00590C36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废气：</w:t>
            </w:r>
            <w:r w:rsidR="00F05296" w:rsidRPr="00FD568C">
              <w:rPr>
                <w:rFonts w:ascii="仿宋_GB2312" w:eastAsia="仿宋_GB2312" w:hAnsi="仿宋_GB2312" w:cs="仿宋_GB2312" w:hint="eastAsia"/>
                <w:sz w:val="24"/>
              </w:rPr>
              <w:t>颗粒物排放浓度2.53 mg/m3，排放总量0.33吨；二氧化硫排放浓度2.88 mg/m3，排放总量0.38吨；氮氧化物排放浓度2.20mg/m3，排放总量0.29吨</w:t>
            </w:r>
            <w:r w:rsidR="005119A3" w:rsidRPr="00FD568C">
              <w:rPr>
                <w:rFonts w:ascii="仿宋_GB2312" w:eastAsia="仿宋_GB2312" w:hAnsi="仿宋_GB2312" w:cs="仿宋_GB2312" w:hint="eastAsia"/>
                <w:sz w:val="24"/>
              </w:rPr>
              <w:t>；非甲烷总烃排放浓度19.325mg/m3，排放总量2.54吨；</w:t>
            </w:r>
          </w:p>
          <w:p w:rsidR="005119A3" w:rsidRPr="005119A3" w:rsidRDefault="005119A3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固废：气化灰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渣产生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10.49万吨；危险废物产生量21040.</w:t>
            </w:r>
            <w:r w:rsidR="00F85F40" w:rsidRPr="00FD568C">
              <w:rPr>
                <w:rFonts w:ascii="仿宋_GB2312" w:eastAsia="仿宋_GB2312" w:hAnsi="仿宋_GB2312" w:cs="仿宋_GB2312" w:hint="eastAsia"/>
                <w:sz w:val="24"/>
              </w:rPr>
              <w:t>24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吨</w:t>
            </w:r>
            <w:r w:rsidR="003A2327" w:rsidRPr="00FD568C">
              <w:rPr>
                <w:rFonts w:ascii="仿宋_GB2312" w:eastAsia="仿宋_GB2312" w:hAnsi="仿宋_GB2312" w:cs="仿宋_GB2312" w:hint="eastAsia"/>
                <w:sz w:val="24"/>
              </w:rPr>
              <w:t>。</w:t>
            </w:r>
          </w:p>
        </w:tc>
        <w:tc>
          <w:tcPr>
            <w:tcW w:w="2254" w:type="dxa"/>
            <w:gridSpan w:val="3"/>
            <w:vAlign w:val="center"/>
          </w:tcPr>
          <w:p w:rsidR="003B0648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污染物排放标准及核定总量</w:t>
            </w:r>
          </w:p>
        </w:tc>
        <w:tc>
          <w:tcPr>
            <w:tcW w:w="3060" w:type="dxa"/>
            <w:gridSpan w:val="2"/>
            <w:vAlign w:val="center"/>
          </w:tcPr>
          <w:p w:rsidR="003A2327" w:rsidRPr="00FD568C" w:rsidRDefault="003A2327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氮氧化物</w:t>
            </w:r>
            <w:r w:rsidR="00082A39" w:rsidRPr="00FD568C">
              <w:rPr>
                <w:rFonts w:ascii="仿宋_GB2312" w:eastAsia="仿宋_GB2312" w:hAnsi="仿宋_GB2312" w:cs="仿宋_GB2312"/>
                <w:sz w:val="24"/>
              </w:rPr>
              <w:t>≤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100mg/m3；二氧化硫</w:t>
            </w:r>
            <w:r w:rsidR="00082A39" w:rsidRPr="00FD568C">
              <w:rPr>
                <w:rFonts w:ascii="仿宋_GB2312" w:eastAsia="仿宋_GB2312" w:hAnsi="仿宋_GB2312" w:cs="仿宋_GB2312"/>
                <w:sz w:val="24"/>
              </w:rPr>
              <w:t>≤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50mg/m3；烟尘</w:t>
            </w:r>
            <w:r w:rsidR="00082A39" w:rsidRPr="00FD568C">
              <w:rPr>
                <w:rFonts w:ascii="仿宋_GB2312" w:eastAsia="仿宋_GB2312" w:hAnsi="仿宋_GB2312" w:cs="仿宋_GB2312"/>
                <w:sz w:val="24"/>
              </w:rPr>
              <w:t>≤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20mg/m3；挥发性有机物：VOC</w:t>
            </w:r>
            <w:r w:rsidR="00082A39" w:rsidRPr="00FD568C">
              <w:rPr>
                <w:rFonts w:ascii="仿宋_GB2312" w:eastAsia="仿宋_GB2312" w:hAnsi="仿宋_GB2312" w:cs="仿宋_GB2312"/>
                <w:sz w:val="24"/>
              </w:rPr>
              <w:t>s≤</w:t>
            </w:r>
            <w:r w:rsidR="008B22FE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  <w:bookmarkStart w:id="0" w:name="_GoBack"/>
            <w:bookmarkEnd w:id="0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20mg/m3。</w:t>
            </w:r>
          </w:p>
          <w:p w:rsidR="003B0648" w:rsidRPr="0021019C" w:rsidRDefault="0021019C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污染物排放总量由公司统一核定。</w:t>
            </w:r>
          </w:p>
        </w:tc>
      </w:tr>
      <w:tr w:rsidR="003B0648" w:rsidRPr="00FD568C" w:rsidTr="00CD529B">
        <w:trPr>
          <w:trHeight w:val="776"/>
          <w:jc w:val="center"/>
        </w:trPr>
        <w:tc>
          <w:tcPr>
            <w:tcW w:w="2160" w:type="dxa"/>
            <w:vAlign w:val="center"/>
          </w:tcPr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污染物防治设施建设和运行情况</w:t>
            </w:r>
          </w:p>
        </w:tc>
        <w:tc>
          <w:tcPr>
            <w:tcW w:w="8100" w:type="dxa"/>
            <w:gridSpan w:val="11"/>
            <w:vAlign w:val="center"/>
          </w:tcPr>
          <w:p w:rsidR="003B0648" w:rsidRDefault="00F05296" w:rsidP="00FD568C">
            <w:pPr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1987年5月及2004年9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月分别建设丁辛醇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装置和辛醇异丁醛装置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各配套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建设水汽提设施各一套，2018年建成并投入使用RTO废气治理设施一套，环保设施与主体项目严格执行“三同时”要求，目前运行正常。</w:t>
            </w:r>
          </w:p>
        </w:tc>
      </w:tr>
      <w:tr w:rsidR="003B0648" w:rsidRPr="00FD568C" w:rsidTr="00CD529B">
        <w:trPr>
          <w:trHeight w:val="364"/>
          <w:jc w:val="center"/>
        </w:trPr>
        <w:tc>
          <w:tcPr>
            <w:tcW w:w="2160" w:type="dxa"/>
            <w:vAlign w:val="center"/>
          </w:tcPr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超标排放情况</w:t>
            </w:r>
          </w:p>
        </w:tc>
        <w:tc>
          <w:tcPr>
            <w:tcW w:w="8100" w:type="dxa"/>
            <w:gridSpan w:val="11"/>
            <w:vAlign w:val="center"/>
          </w:tcPr>
          <w:p w:rsidR="003B0648" w:rsidRDefault="00F05296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无</w:t>
            </w:r>
          </w:p>
        </w:tc>
      </w:tr>
      <w:tr w:rsidR="003B0648" w:rsidRPr="00FD568C" w:rsidTr="00FD568C">
        <w:trPr>
          <w:trHeight w:val="1125"/>
          <w:jc w:val="center"/>
        </w:trPr>
        <w:tc>
          <w:tcPr>
            <w:tcW w:w="2160" w:type="dxa"/>
            <w:vAlign w:val="center"/>
          </w:tcPr>
          <w:p w:rsidR="003B0648" w:rsidRPr="00FD568C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建设项目环境影响评价及其他环境保护行政许可情况</w:t>
            </w:r>
          </w:p>
        </w:tc>
        <w:tc>
          <w:tcPr>
            <w:tcW w:w="5040" w:type="dxa"/>
            <w:gridSpan w:val="9"/>
            <w:vAlign w:val="center"/>
          </w:tcPr>
          <w:p w:rsidR="00F05296" w:rsidRPr="00FD568C" w:rsidRDefault="00F05296" w:rsidP="00FD568C">
            <w:pPr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审批：2015年8月19日，由国家环保总局审批，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环审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[2005] 698号。</w:t>
            </w:r>
          </w:p>
          <w:p w:rsidR="003B0648" w:rsidRPr="00FD568C" w:rsidRDefault="00F05296" w:rsidP="00FD568C">
            <w:pPr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 xml:space="preserve">验收：2010年6月7日，由国家环保部验收， </w:t>
            </w:r>
            <w:proofErr w:type="gramStart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环验[</w:t>
            </w:r>
            <w:proofErr w:type="gramEnd"/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2010]129号。</w:t>
            </w:r>
          </w:p>
        </w:tc>
        <w:tc>
          <w:tcPr>
            <w:tcW w:w="1440" w:type="dxa"/>
            <w:vAlign w:val="center"/>
          </w:tcPr>
          <w:p w:rsidR="003B0648" w:rsidRDefault="00065B6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突发环境事件应急预案制定情况</w:t>
            </w:r>
          </w:p>
        </w:tc>
        <w:tc>
          <w:tcPr>
            <w:tcW w:w="1620" w:type="dxa"/>
            <w:vAlign w:val="center"/>
          </w:tcPr>
          <w:p w:rsidR="003B0648" w:rsidRDefault="00F05296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备案编号：370305-2017-0065-H</w:t>
            </w:r>
          </w:p>
        </w:tc>
      </w:tr>
      <w:tr w:rsidR="00FD568C" w:rsidRPr="00FD568C" w:rsidTr="00FD568C">
        <w:trPr>
          <w:trHeight w:val="434"/>
          <w:jc w:val="center"/>
        </w:trPr>
        <w:tc>
          <w:tcPr>
            <w:tcW w:w="2160" w:type="dxa"/>
            <w:vAlign w:val="center"/>
          </w:tcPr>
          <w:p w:rsidR="00FD568C" w:rsidRPr="00FD568C" w:rsidRDefault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其他根据法律法规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应公开或临时公开的内容</w:t>
            </w:r>
          </w:p>
        </w:tc>
        <w:tc>
          <w:tcPr>
            <w:tcW w:w="8100" w:type="dxa"/>
            <w:gridSpan w:val="11"/>
            <w:vAlign w:val="center"/>
          </w:tcPr>
          <w:p w:rsidR="00FD568C" w:rsidRDefault="00FD568C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无</w:t>
            </w:r>
          </w:p>
        </w:tc>
      </w:tr>
      <w:tr w:rsidR="003B0648" w:rsidRPr="00FD568C" w:rsidTr="00FD568C">
        <w:trPr>
          <w:trHeight w:val="622"/>
          <w:jc w:val="center"/>
        </w:trPr>
        <w:tc>
          <w:tcPr>
            <w:tcW w:w="2160" w:type="dxa"/>
            <w:vAlign w:val="center"/>
          </w:tcPr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企业审核人员：</w:t>
            </w:r>
          </w:p>
        </w:tc>
        <w:tc>
          <w:tcPr>
            <w:tcW w:w="2340" w:type="dxa"/>
            <w:gridSpan w:val="4"/>
            <w:vAlign w:val="center"/>
          </w:tcPr>
          <w:p w:rsidR="003B0648" w:rsidRPr="00FD568C" w:rsidRDefault="006054FD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宋道宏</w:t>
            </w:r>
          </w:p>
        </w:tc>
        <w:tc>
          <w:tcPr>
            <w:tcW w:w="5760" w:type="dxa"/>
            <w:gridSpan w:val="7"/>
            <w:vAlign w:val="center"/>
          </w:tcPr>
          <w:p w:rsidR="003B0648" w:rsidRPr="00FD568C" w:rsidRDefault="003B0648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（企业盖章）</w:t>
            </w:r>
          </w:p>
          <w:p w:rsidR="003B0648" w:rsidRPr="00FD568C" w:rsidRDefault="00065B61" w:rsidP="00FD568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>201</w:t>
            </w:r>
            <w:r w:rsidR="00C376E4" w:rsidRPr="00FD568C">
              <w:rPr>
                <w:rFonts w:ascii="仿宋_GB2312" w:eastAsia="仿宋_GB2312" w:hAnsi="仿宋_GB2312" w:cs="仿宋_GB2312" w:hint="eastAsia"/>
                <w:sz w:val="24"/>
              </w:rPr>
              <w:t>9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 xml:space="preserve">年  </w:t>
            </w:r>
            <w:r w:rsidR="00C376E4" w:rsidRPr="00FD568C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 xml:space="preserve">  月   </w:t>
            </w:r>
            <w:r w:rsidR="00C376E4" w:rsidRPr="00FD568C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  <w:r w:rsidRPr="00FD568C">
              <w:rPr>
                <w:rFonts w:ascii="仿宋_GB2312" w:eastAsia="仿宋_GB2312" w:hAnsi="仿宋_GB2312" w:cs="仿宋_GB2312" w:hint="eastAsia"/>
                <w:sz w:val="24"/>
              </w:rPr>
              <w:t xml:space="preserve">  日</w:t>
            </w:r>
          </w:p>
        </w:tc>
      </w:tr>
    </w:tbl>
    <w:p w:rsidR="00065B61" w:rsidRDefault="00065B61" w:rsidP="00396A66">
      <w:pPr>
        <w:rPr>
          <w:rFonts w:ascii="宋体" w:hAnsi="宋体"/>
          <w:sz w:val="24"/>
        </w:rPr>
      </w:pPr>
    </w:p>
    <w:sectPr w:rsidR="00065B61" w:rsidSect="003B0648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B1" w:rsidRDefault="00F537B1" w:rsidP="009F649A">
      <w:r>
        <w:separator/>
      </w:r>
    </w:p>
  </w:endnote>
  <w:endnote w:type="continuationSeparator" w:id="0">
    <w:p w:rsidR="00F537B1" w:rsidRDefault="00F537B1" w:rsidP="009F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B1" w:rsidRDefault="00F537B1" w:rsidP="009F649A">
      <w:r>
        <w:separator/>
      </w:r>
    </w:p>
  </w:footnote>
  <w:footnote w:type="continuationSeparator" w:id="0">
    <w:p w:rsidR="00F537B1" w:rsidRDefault="00F537B1" w:rsidP="009F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648" w:rsidRDefault="003B064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C0E"/>
    <w:rsid w:val="00026550"/>
    <w:rsid w:val="00065B61"/>
    <w:rsid w:val="00082A39"/>
    <w:rsid w:val="002055AD"/>
    <w:rsid w:val="0021019C"/>
    <w:rsid w:val="00260F3F"/>
    <w:rsid w:val="00274F3C"/>
    <w:rsid w:val="003014E0"/>
    <w:rsid w:val="00396A66"/>
    <w:rsid w:val="003A2327"/>
    <w:rsid w:val="003B0648"/>
    <w:rsid w:val="00450301"/>
    <w:rsid w:val="00473D7C"/>
    <w:rsid w:val="004805CF"/>
    <w:rsid w:val="0049618B"/>
    <w:rsid w:val="004A3E65"/>
    <w:rsid w:val="00503D3E"/>
    <w:rsid w:val="005119A3"/>
    <w:rsid w:val="00537B6A"/>
    <w:rsid w:val="00590C36"/>
    <w:rsid w:val="005950C8"/>
    <w:rsid w:val="006054FD"/>
    <w:rsid w:val="00625750"/>
    <w:rsid w:val="006750F5"/>
    <w:rsid w:val="006A4284"/>
    <w:rsid w:val="006E1E9E"/>
    <w:rsid w:val="006E1ED9"/>
    <w:rsid w:val="00724975"/>
    <w:rsid w:val="007E525B"/>
    <w:rsid w:val="007F4188"/>
    <w:rsid w:val="00800F51"/>
    <w:rsid w:val="00835347"/>
    <w:rsid w:val="0086641D"/>
    <w:rsid w:val="008B22FE"/>
    <w:rsid w:val="008B396C"/>
    <w:rsid w:val="009866BF"/>
    <w:rsid w:val="00A95E9B"/>
    <w:rsid w:val="00AE2E37"/>
    <w:rsid w:val="00B76243"/>
    <w:rsid w:val="00BD60DF"/>
    <w:rsid w:val="00BF21EE"/>
    <w:rsid w:val="00C376E4"/>
    <w:rsid w:val="00CC4E04"/>
    <w:rsid w:val="00CD529B"/>
    <w:rsid w:val="00D84EC4"/>
    <w:rsid w:val="00E46982"/>
    <w:rsid w:val="00E51C0E"/>
    <w:rsid w:val="00E63E6D"/>
    <w:rsid w:val="00EE2692"/>
    <w:rsid w:val="00F05296"/>
    <w:rsid w:val="00F05BA8"/>
    <w:rsid w:val="00F27051"/>
    <w:rsid w:val="00F44CB9"/>
    <w:rsid w:val="00F537B1"/>
    <w:rsid w:val="00F85F40"/>
    <w:rsid w:val="00F9736D"/>
    <w:rsid w:val="00FA34FF"/>
    <w:rsid w:val="00FD568C"/>
    <w:rsid w:val="021C7EFE"/>
    <w:rsid w:val="3B7F7D41"/>
    <w:rsid w:val="7A500D10"/>
    <w:rsid w:val="7FED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3EF7393-55A8-44AF-B03D-53EF76EA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0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3B0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B0648"/>
    <w:rPr>
      <w:sz w:val="18"/>
      <w:szCs w:val="18"/>
    </w:rPr>
  </w:style>
  <w:style w:type="table" w:styleId="a6">
    <w:name w:val="Table Grid"/>
    <w:basedOn w:val="a1"/>
    <w:rsid w:val="003B06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CE80524CA74BF4EAD2AA22BFE10232B" ma:contentTypeVersion="1" ma:contentTypeDescription="新建文档。" ma:contentTypeScope="" ma:versionID="e7786c989166f4f824386a90b01b43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52BF53-02CA-4EFD-B0BD-2319FBED1CBD}"/>
</file>

<file path=customXml/itemProps2.xml><?xml version="1.0" encoding="utf-8"?>
<ds:datastoreItem xmlns:ds="http://schemas.openxmlformats.org/officeDocument/2006/customXml" ds:itemID="{00C1924A-C424-41A0-973D-A7511D8595B7}"/>
</file>

<file path=customXml/itemProps3.xml><?xml version="1.0" encoding="utf-8"?>
<ds:datastoreItem xmlns:ds="http://schemas.openxmlformats.org/officeDocument/2006/customXml" ds:itemID="{C84E6F44-0586-4D2B-BD64-ACD7405CFA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169</Words>
  <Characters>965</Characters>
  <Application>Microsoft Office Word</Application>
  <DocSecurity>0</DocSecurity>
  <Lines>8</Lines>
  <Paragraphs>2</Paragraphs>
  <ScaleCrop>false</ScaleCrop>
  <Company>China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王峰</dc:creator>
  <cp:lastModifiedBy>李倩</cp:lastModifiedBy>
  <cp:revision>10</cp:revision>
  <cp:lastPrinted>2018-05-09T00:02:00Z</cp:lastPrinted>
  <dcterms:created xsi:type="dcterms:W3CDTF">2019-02-25T04:34:00Z</dcterms:created>
  <dcterms:modified xsi:type="dcterms:W3CDTF">2019-02-28T08:41:00Z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  <property fmtid="{D5CDD505-2E9C-101B-9397-08002B2CF9AE}" pid="3" name="ContentTypeId">
    <vt:lpwstr>0x010100CCE80524CA74BF4EAD2AA22BFE10232B</vt:lpwstr>
  </property>
</Properties>
</file>