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sz w:val="36"/>
          <w:szCs w:val="36"/>
          <w:lang w:val="en-US" w:eastAsia="zh-CN"/>
        </w:rPr>
      </w:pPr>
      <w:r>
        <w:rPr>
          <w:rFonts w:hint="default" w:ascii="Times New Roman" w:hAnsi="Times New Roman" w:cs="Times New Roman" w:eastAsiaTheme="minorEastAsia"/>
          <w:b/>
          <w:bCs/>
          <w:sz w:val="36"/>
          <w:szCs w:val="36"/>
          <w:lang w:val="en-US" w:eastAsia="zh-CN"/>
        </w:rPr>
        <w:t>25万吨/年聚丙烯项目环境影响评价第一次公示</w:t>
      </w:r>
    </w:p>
    <w:p>
      <w:pPr>
        <w:pStyle w:val="2"/>
        <w:rPr>
          <w:rFonts w:hint="default" w:ascii="Times New Roman" w:hAnsi="Times New Roman" w:cs="Times New Roman"/>
          <w:lang w:val="en-US" w:eastAsia="zh-CN"/>
        </w:rPr>
      </w:pPr>
    </w:p>
    <w:p>
      <w:pPr>
        <w:keepNext w:val="0"/>
        <w:keepLines w:val="0"/>
        <w:pageBreakBefore w:val="0"/>
        <w:widowControl/>
        <w:kinsoku/>
        <w:wordWrap/>
        <w:overflowPunct/>
        <w:topLinePunct w:val="0"/>
        <w:autoSpaceDE/>
        <w:autoSpaceDN/>
        <w:bidi w:val="0"/>
        <w:adjustRightInd/>
        <w:snapToGrid/>
        <w:ind w:firstLine="560" w:firstLineChars="200"/>
        <w:jc w:val="left"/>
        <w:textAlignment w:val="auto"/>
        <w:rPr>
          <w:rFonts w:hint="default" w:ascii="Times New Roman" w:hAnsi="Times New Roman" w:cs="Times New Roman" w:eastAsiaTheme="minorEastAsia"/>
          <w:sz w:val="28"/>
          <w:szCs w:val="22"/>
          <w:lang w:val="en-US" w:eastAsia="zh-CN"/>
        </w:rPr>
      </w:pPr>
      <w:r>
        <w:rPr>
          <w:rFonts w:hint="default" w:ascii="Times New Roman" w:hAnsi="Times New Roman" w:cs="Times New Roman" w:eastAsiaTheme="minorEastAsia"/>
          <w:sz w:val="28"/>
          <w:lang w:val="en-US" w:eastAsia="zh-CN"/>
        </w:rPr>
        <w:t>依据《中华人</w:t>
      </w:r>
      <w:r>
        <w:rPr>
          <w:rFonts w:hint="default" w:ascii="Times New Roman" w:hAnsi="Times New Roman" w:cs="Times New Roman" w:eastAsiaTheme="minorEastAsia"/>
          <w:color w:val="auto"/>
          <w:sz w:val="28"/>
          <w:lang w:val="en-US" w:eastAsia="zh-CN"/>
        </w:rPr>
        <w:t>民共和国环境影响评价法》、《环境影响评价公众参与办法》（生态环境部令 第4号）及建</w:t>
      </w:r>
      <w:r>
        <w:rPr>
          <w:rFonts w:hint="default" w:ascii="Times New Roman" w:hAnsi="Times New Roman" w:cs="Times New Roman" w:eastAsiaTheme="minorEastAsia"/>
          <w:sz w:val="28"/>
          <w:lang w:val="en-US" w:eastAsia="zh-CN"/>
        </w:rPr>
        <w:t>设项目相关环境影响评价的规定，对本项目建设情况及其环境影响评价进行公示，以便广泛了解各界</w:t>
      </w:r>
      <w:r>
        <w:rPr>
          <w:rFonts w:hint="default" w:ascii="Times New Roman" w:hAnsi="Times New Roman" w:cs="Times New Roman" w:eastAsiaTheme="minorEastAsia"/>
          <w:sz w:val="28"/>
          <w:szCs w:val="22"/>
          <w:lang w:val="en-US" w:eastAsia="zh-CN"/>
        </w:rPr>
        <w:t>公众对本项目的态度及环保方面的意见和建议，接受社会公众的监督。</w:t>
      </w:r>
    </w:p>
    <w:p>
      <w:pPr>
        <w:numPr>
          <w:ilvl w:val="0"/>
          <w:numId w:val="1"/>
        </w:numPr>
        <w:rPr>
          <w:rFonts w:hint="default" w:ascii="Times New Roman" w:hAnsi="Times New Roman" w:cs="Times New Roman" w:eastAsiaTheme="minorEastAsia"/>
          <w:b/>
          <w:bCs/>
          <w:color w:val="auto"/>
          <w:sz w:val="28"/>
          <w:szCs w:val="28"/>
          <w:lang w:val="en-US" w:eastAsia="zh-CN"/>
        </w:rPr>
      </w:pPr>
      <w:r>
        <w:rPr>
          <w:rFonts w:hint="default" w:ascii="Times New Roman" w:hAnsi="Times New Roman" w:cs="Times New Roman" w:eastAsiaTheme="minorEastAsia"/>
          <w:b/>
          <w:bCs/>
          <w:color w:val="auto"/>
          <w:sz w:val="28"/>
          <w:szCs w:val="28"/>
        </w:rPr>
        <w:t>建设项目基本情况</w:t>
      </w:r>
    </w:p>
    <w:p>
      <w:pPr>
        <w:keepNext w:val="0"/>
        <w:keepLines w:val="0"/>
        <w:pageBreakBefore w:val="0"/>
        <w:widowControl/>
        <w:numPr>
          <w:ilvl w:val="0"/>
          <w:numId w:val="0"/>
        </w:numPr>
        <w:kinsoku/>
        <w:wordWrap/>
        <w:overflowPunct/>
        <w:topLinePunct w:val="0"/>
        <w:autoSpaceDE/>
        <w:autoSpaceDN/>
        <w:bidi w:val="0"/>
        <w:adjustRightInd/>
        <w:snapToGrid/>
        <w:ind w:firstLine="562" w:firstLineChars="200"/>
        <w:jc w:val="left"/>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b/>
          <w:bCs/>
          <w:color w:val="auto"/>
          <w:sz w:val="28"/>
          <w:szCs w:val="28"/>
          <w:lang w:val="en-US" w:eastAsia="zh-CN"/>
        </w:rPr>
        <w:t>项目名称：</w:t>
      </w:r>
      <w:r>
        <w:rPr>
          <w:rFonts w:hint="default" w:ascii="Times New Roman" w:hAnsi="Times New Roman" w:cs="Times New Roman" w:eastAsiaTheme="minorEastAsia"/>
          <w:sz w:val="28"/>
          <w:szCs w:val="22"/>
          <w:lang w:val="en-US" w:eastAsia="zh-CN"/>
        </w:rPr>
        <w:t>25万吨/年聚丙烯项目</w:t>
      </w:r>
    </w:p>
    <w:p>
      <w:pPr>
        <w:keepNext w:val="0"/>
        <w:keepLines w:val="0"/>
        <w:pageBreakBefore w:val="0"/>
        <w:widowControl/>
        <w:numPr>
          <w:ilvl w:val="0"/>
          <w:numId w:val="0"/>
        </w:numPr>
        <w:kinsoku/>
        <w:wordWrap/>
        <w:overflowPunct/>
        <w:topLinePunct w:val="0"/>
        <w:autoSpaceDE/>
        <w:autoSpaceDN/>
        <w:bidi w:val="0"/>
        <w:adjustRightInd/>
        <w:snapToGrid/>
        <w:ind w:firstLine="562" w:firstLineChars="200"/>
        <w:jc w:val="left"/>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b/>
          <w:bCs/>
          <w:color w:val="auto"/>
          <w:sz w:val="28"/>
          <w:szCs w:val="28"/>
          <w:lang w:val="en-US" w:eastAsia="zh-CN"/>
        </w:rPr>
        <w:t>建设地点：</w:t>
      </w:r>
      <w:r>
        <w:rPr>
          <w:rFonts w:hint="default" w:ascii="Times New Roman" w:hAnsi="Times New Roman" w:cs="Times New Roman" w:eastAsiaTheme="minorEastAsia"/>
          <w:sz w:val="28"/>
          <w:szCs w:val="22"/>
          <w:lang w:val="en-US" w:eastAsia="zh-CN"/>
        </w:rPr>
        <w:t>淄博市齐鲁化学工业区齐隆制萘装置</w:t>
      </w:r>
      <w:r>
        <w:rPr>
          <w:rFonts w:hint="eastAsia" w:ascii="Times New Roman" w:hAnsi="Times New Roman" w:cs="Times New Roman" w:eastAsiaTheme="minorEastAsia"/>
          <w:sz w:val="28"/>
          <w:szCs w:val="22"/>
          <w:lang w:val="en-US" w:eastAsia="zh-CN"/>
        </w:rPr>
        <w:t>以南、</w:t>
      </w:r>
      <w:r>
        <w:rPr>
          <w:rFonts w:hint="default" w:ascii="Times New Roman" w:hAnsi="Times New Roman" w:cs="Times New Roman" w:eastAsiaTheme="minorEastAsia"/>
          <w:sz w:val="28"/>
          <w:szCs w:val="22"/>
          <w:lang w:val="en-US" w:eastAsia="zh-CN"/>
        </w:rPr>
        <w:t>金烯路</w:t>
      </w:r>
      <w:r>
        <w:rPr>
          <w:rFonts w:hint="eastAsia" w:ascii="Times New Roman" w:hAnsi="Times New Roman" w:cs="Times New Roman" w:eastAsiaTheme="minorEastAsia"/>
          <w:sz w:val="28"/>
          <w:szCs w:val="22"/>
          <w:lang w:val="en-US" w:eastAsia="zh-CN"/>
        </w:rPr>
        <w:t>以东、</w:t>
      </w:r>
      <w:r>
        <w:rPr>
          <w:rFonts w:hint="default" w:ascii="Times New Roman" w:hAnsi="Times New Roman" w:cs="Times New Roman" w:eastAsiaTheme="minorEastAsia"/>
          <w:sz w:val="28"/>
          <w:szCs w:val="22"/>
          <w:lang w:val="en-US" w:eastAsia="zh-CN"/>
        </w:rPr>
        <w:t>乙烯南路以北</w:t>
      </w:r>
      <w:r>
        <w:rPr>
          <w:rFonts w:hint="eastAsia" w:ascii="Times New Roman" w:hAnsi="Times New Roman" w:cs="Times New Roman" w:eastAsiaTheme="minorEastAsia"/>
          <w:sz w:val="28"/>
          <w:szCs w:val="22"/>
          <w:lang w:val="en-US" w:eastAsia="zh-CN"/>
        </w:rPr>
        <w:t>区域</w:t>
      </w:r>
      <w:r>
        <w:rPr>
          <w:rFonts w:hint="default" w:ascii="Times New Roman" w:hAnsi="Times New Roman" w:cs="Times New Roman" w:eastAsiaTheme="minorEastAsia"/>
          <w:sz w:val="28"/>
          <w:szCs w:val="22"/>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ind w:firstLine="562" w:firstLineChars="200"/>
        <w:jc w:val="left"/>
        <w:textAlignment w:val="auto"/>
        <w:rPr>
          <w:rFonts w:hint="default" w:ascii="Times New Roman" w:hAnsi="Times New Roman" w:cs="Times New Roman" w:eastAsiaTheme="minorEastAsia"/>
          <w:sz w:val="28"/>
          <w:szCs w:val="22"/>
          <w:lang w:val="en-US" w:eastAsia="zh-CN"/>
        </w:rPr>
      </w:pPr>
      <w:r>
        <w:rPr>
          <w:rFonts w:hint="default" w:ascii="Times New Roman" w:hAnsi="Times New Roman" w:cs="Times New Roman" w:eastAsiaTheme="minorEastAsia"/>
          <w:b/>
          <w:bCs/>
          <w:color w:val="auto"/>
          <w:sz w:val="28"/>
          <w:szCs w:val="28"/>
          <w:lang w:val="en-US" w:eastAsia="zh-CN"/>
        </w:rPr>
        <w:t>建设内容：</w:t>
      </w:r>
      <w:r>
        <w:rPr>
          <w:rFonts w:hint="default" w:ascii="Times New Roman" w:hAnsi="Times New Roman" w:cs="Times New Roman" w:eastAsiaTheme="minorEastAsia"/>
          <w:sz w:val="28"/>
          <w:szCs w:val="22"/>
          <w:lang w:val="en-US" w:eastAsia="zh-CN"/>
        </w:rPr>
        <w:t>本项目建设25万吨/年聚丙烯装置，主要建设内容为100单元（助催化剂和催化剂制备  催化剂计量系统）、200单元（预聚和本体聚合单元）、300单元（聚合物脱气  丙烯洗涤和贮存）、400单元（气相共聚）、500单元（聚合物汽蒸和干燥）、600单元（排放和工艺辅助设施  废水处理）、700单元（单体精制）、800单元（添加剂加料和挤压造粒）、900单元（颗粒掺混和输送），及辅助工程包装工艺，并配套建设公辅设施。</w:t>
      </w:r>
    </w:p>
    <w:p>
      <w:pPr>
        <w:pStyle w:val="2"/>
        <w:rPr>
          <w:rFonts w:hint="default"/>
          <w:lang w:val="en-US" w:eastAsia="zh-CN"/>
        </w:rPr>
      </w:pPr>
    </w:p>
    <w:p>
      <w:pPr>
        <w:numPr>
          <w:ilvl w:val="0"/>
          <w:numId w:val="1"/>
        </w:numPr>
        <w:ind w:left="0" w:leftChars="0" w:firstLine="0" w:firstLineChars="0"/>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建设单位名称和联系方式</w:t>
      </w:r>
    </w:p>
    <w:p>
      <w:pPr>
        <w:keepNext w:val="0"/>
        <w:keepLines w:val="0"/>
        <w:pageBreakBefore w:val="0"/>
        <w:widowControl/>
        <w:numPr>
          <w:ilvl w:val="0"/>
          <w:numId w:val="0"/>
        </w:numPr>
        <w:kinsoku/>
        <w:wordWrap/>
        <w:overflowPunct/>
        <w:topLinePunct w:val="0"/>
        <w:autoSpaceDE/>
        <w:autoSpaceDN/>
        <w:bidi w:val="0"/>
        <w:adjustRightInd/>
        <w:snapToGrid/>
        <w:ind w:left="0" w:leftChars="0" w:firstLine="562" w:firstLineChars="200"/>
        <w:jc w:val="left"/>
        <w:textAlignment w:val="auto"/>
        <w:rPr>
          <w:rFonts w:hint="default" w:ascii="Times New Roman" w:hAnsi="Times New Roman" w:cs="Times New Roman" w:eastAsiaTheme="minorEastAsia"/>
          <w:color w:val="auto"/>
          <w:sz w:val="28"/>
          <w:szCs w:val="22"/>
          <w:lang w:val="en-US" w:eastAsia="zh-CN"/>
        </w:rPr>
      </w:pPr>
      <w:r>
        <w:rPr>
          <w:rFonts w:hint="default" w:ascii="Times New Roman" w:hAnsi="Times New Roman" w:cs="Times New Roman" w:eastAsiaTheme="minorEastAsia"/>
          <w:b/>
          <w:bCs/>
          <w:color w:val="auto"/>
          <w:sz w:val="28"/>
          <w:szCs w:val="28"/>
        </w:rPr>
        <w:t>单位</w:t>
      </w:r>
      <w:r>
        <w:rPr>
          <w:rFonts w:hint="default" w:ascii="Times New Roman" w:hAnsi="Times New Roman" w:cs="Times New Roman" w:eastAsiaTheme="minorEastAsia"/>
          <w:b/>
          <w:bCs/>
          <w:color w:val="auto"/>
          <w:sz w:val="28"/>
          <w:szCs w:val="28"/>
          <w:lang w:val="en-US" w:eastAsia="zh-CN"/>
        </w:rPr>
        <w:t>名称</w:t>
      </w:r>
      <w:r>
        <w:rPr>
          <w:rFonts w:hint="default" w:ascii="Times New Roman" w:hAnsi="Times New Roman" w:cs="Times New Roman" w:eastAsiaTheme="minorEastAsia"/>
          <w:b/>
          <w:bCs/>
          <w:color w:val="auto"/>
          <w:sz w:val="28"/>
          <w:szCs w:val="28"/>
        </w:rPr>
        <w:t>：</w:t>
      </w:r>
      <w:r>
        <w:rPr>
          <w:rFonts w:hint="default" w:ascii="Times New Roman" w:hAnsi="Times New Roman" w:cs="Times New Roman" w:eastAsiaTheme="minorEastAsia"/>
          <w:sz w:val="28"/>
          <w:szCs w:val="22"/>
          <w:lang w:val="en-US" w:eastAsia="zh-CN"/>
        </w:rPr>
        <w:t>中国石油化工股份有限公司齐鲁分公司</w:t>
      </w: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snapToGrid/>
        <w:ind w:left="559" w:leftChars="266" w:firstLine="0" w:firstLineChars="0"/>
        <w:jc w:val="left"/>
        <w:textAlignment w:val="auto"/>
        <w:rPr>
          <w:rFonts w:hint="default" w:ascii="Times New Roman" w:hAnsi="Times New Roman" w:cs="Times New Roman" w:eastAsiaTheme="minorEastAsia"/>
          <w:sz w:val="28"/>
          <w:szCs w:val="22"/>
          <w:lang w:val="en-US" w:eastAsia="zh-CN"/>
        </w:rPr>
      </w:pPr>
      <w:r>
        <w:rPr>
          <w:rFonts w:hint="default" w:ascii="Times New Roman" w:hAnsi="Times New Roman" w:cs="Times New Roman" w:eastAsiaTheme="minorEastAsia"/>
          <w:b/>
          <w:bCs/>
          <w:color w:val="auto"/>
          <w:sz w:val="28"/>
          <w:szCs w:val="28"/>
        </w:rPr>
        <w:t>联系人：</w:t>
      </w:r>
      <w:r>
        <w:rPr>
          <w:rFonts w:hint="default" w:ascii="Times New Roman" w:hAnsi="Times New Roman" w:cs="Times New Roman" w:eastAsiaTheme="minorEastAsia"/>
          <w:sz w:val="28"/>
          <w:szCs w:val="22"/>
          <w:lang w:val="en-US" w:eastAsia="zh-CN"/>
        </w:rPr>
        <w:t>李</w:t>
      </w:r>
      <w:r>
        <w:rPr>
          <w:rFonts w:hint="eastAsia" w:ascii="Times New Roman" w:hAnsi="Times New Roman" w:cs="Times New Roman" w:eastAsiaTheme="minorEastAsia"/>
          <w:sz w:val="28"/>
          <w:szCs w:val="22"/>
          <w:lang w:val="en-US" w:eastAsia="zh-CN"/>
        </w:rPr>
        <w:t>科长</w:t>
      </w:r>
    </w:p>
    <w:p>
      <w:pPr>
        <w:keepNext w:val="0"/>
        <w:keepLines w:val="0"/>
        <w:pageBreakBefore w:val="0"/>
        <w:widowControl/>
        <w:numPr>
          <w:ilvl w:val="0"/>
          <w:numId w:val="0"/>
        </w:numPr>
        <w:kinsoku/>
        <w:wordWrap/>
        <w:overflowPunct/>
        <w:topLinePunct w:val="0"/>
        <w:autoSpaceDE/>
        <w:autoSpaceDN/>
        <w:bidi w:val="0"/>
        <w:adjustRightInd/>
        <w:snapToGrid/>
        <w:ind w:left="559" w:leftChars="266" w:firstLine="0" w:firstLineChars="0"/>
        <w:jc w:val="left"/>
        <w:textAlignment w:val="auto"/>
        <w:rPr>
          <w:rFonts w:hint="default" w:ascii="Times New Roman" w:hAnsi="Times New Roman" w:cs="Times New Roman" w:eastAsiaTheme="minorEastAsia"/>
          <w:color w:val="auto"/>
          <w:sz w:val="28"/>
          <w:szCs w:val="28"/>
          <w:highlight w:val="yellow"/>
          <w:lang w:val="en-US" w:eastAsia="zh-CN"/>
        </w:rPr>
      </w:pPr>
      <w:r>
        <w:rPr>
          <w:rFonts w:hint="default" w:ascii="Times New Roman" w:hAnsi="Times New Roman" w:cs="Times New Roman" w:eastAsiaTheme="minorEastAsia"/>
          <w:b/>
          <w:bCs/>
          <w:sz w:val="28"/>
          <w:szCs w:val="22"/>
          <w:lang w:val="en-US" w:eastAsia="zh-CN"/>
        </w:rPr>
        <w:t>电话：</w:t>
      </w:r>
      <w:r>
        <w:rPr>
          <w:rFonts w:hint="default" w:ascii="Times New Roman" w:hAnsi="Times New Roman" w:cs="Times New Roman" w:eastAsiaTheme="minorEastAsia"/>
          <w:sz w:val="28"/>
          <w:szCs w:val="22"/>
          <w:lang w:val="en-US" w:eastAsia="zh-CN"/>
        </w:rPr>
        <w:t>0533-7588493</w:t>
      </w:r>
    </w:p>
    <w:p>
      <w:pPr>
        <w:adjustRightInd w:val="0"/>
        <w:snapToGrid w:val="0"/>
        <w:spacing w:line="480" w:lineRule="exact"/>
        <w:ind w:firstLine="562" w:firstLineChars="200"/>
        <w:rPr>
          <w:rFonts w:hint="default" w:ascii="Times New Roman" w:hAnsi="Times New Roman" w:cs="Times New Roman" w:eastAsiaTheme="minorEastAsia"/>
          <w:color w:val="auto"/>
          <w:sz w:val="28"/>
          <w:szCs w:val="22"/>
          <w:lang w:val="en-US" w:eastAsia="zh-CN"/>
        </w:rPr>
      </w:pPr>
      <w:r>
        <w:rPr>
          <w:rFonts w:hint="default" w:ascii="Times New Roman" w:hAnsi="Times New Roman" w:cs="Times New Roman" w:eastAsiaTheme="minorEastAsia"/>
          <w:b/>
          <w:bCs/>
          <w:color w:val="auto"/>
          <w:sz w:val="28"/>
          <w:szCs w:val="28"/>
          <w:highlight w:val="none"/>
          <w:lang w:val="en-US" w:eastAsia="zh-CN"/>
        </w:rPr>
        <w:t>邮箱：</w:t>
      </w:r>
      <w:r>
        <w:rPr>
          <w:rFonts w:hint="default" w:ascii="Times New Roman" w:hAnsi="Times New Roman" w:cs="Times New Roman" w:eastAsiaTheme="minorEastAsia"/>
          <w:color w:val="auto"/>
          <w:sz w:val="28"/>
          <w:szCs w:val="22"/>
          <w:lang w:val="en-US" w:eastAsia="zh-CN"/>
        </w:rPr>
        <w:fldChar w:fldCharType="begin"/>
      </w:r>
      <w:r>
        <w:rPr>
          <w:rFonts w:hint="default" w:ascii="Times New Roman" w:hAnsi="Times New Roman" w:cs="Times New Roman" w:eastAsiaTheme="minorEastAsia"/>
          <w:color w:val="auto"/>
          <w:sz w:val="28"/>
          <w:szCs w:val="22"/>
          <w:lang w:val="en-US" w:eastAsia="zh-CN"/>
        </w:rPr>
        <w:instrText xml:space="preserve"> HYPERLINK "mailto:lxpzlxp@126.com" </w:instrText>
      </w:r>
      <w:r>
        <w:rPr>
          <w:rFonts w:hint="default" w:ascii="Times New Roman" w:hAnsi="Times New Roman" w:cs="Times New Roman" w:eastAsiaTheme="minorEastAsia"/>
          <w:color w:val="auto"/>
          <w:sz w:val="28"/>
          <w:szCs w:val="22"/>
          <w:lang w:val="en-US" w:eastAsia="zh-CN"/>
        </w:rPr>
        <w:fldChar w:fldCharType="separate"/>
      </w:r>
      <w:r>
        <w:rPr>
          <w:rStyle w:val="6"/>
          <w:rFonts w:hint="default" w:ascii="Times New Roman" w:hAnsi="Times New Roman" w:cs="Times New Roman" w:eastAsiaTheme="minorEastAsia"/>
          <w:color w:val="auto"/>
          <w:sz w:val="28"/>
          <w:szCs w:val="22"/>
          <w:lang w:val="en-US" w:eastAsia="zh-CN"/>
        </w:rPr>
        <w:t>lxpzlxp@126.com</w:t>
      </w:r>
      <w:r>
        <w:rPr>
          <w:rFonts w:hint="default" w:ascii="Times New Roman" w:hAnsi="Times New Roman" w:cs="Times New Roman" w:eastAsiaTheme="minorEastAsia"/>
          <w:color w:val="auto"/>
          <w:sz w:val="28"/>
          <w:szCs w:val="22"/>
          <w:lang w:val="en-US" w:eastAsia="zh-CN"/>
        </w:rPr>
        <w:fldChar w:fldCharType="end"/>
      </w:r>
    </w:p>
    <w:p>
      <w:pPr>
        <w:pStyle w:val="2"/>
        <w:rPr>
          <w:rFonts w:hint="default" w:ascii="Times New Roman" w:hAnsi="Times New Roman" w:cs="Times New Roman"/>
          <w:lang w:val="en-US" w:eastAsia="zh-CN"/>
        </w:rPr>
      </w:pPr>
    </w:p>
    <w:p>
      <w:pPr>
        <w:numPr>
          <w:ilvl w:val="0"/>
          <w:numId w:val="1"/>
        </w:numPr>
        <w:ind w:left="0" w:leftChars="0" w:firstLine="0" w:firstLineChars="0"/>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环境影响报告书编制单位的名称</w:t>
      </w:r>
    </w:p>
    <w:p>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jc w:val="left"/>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单位名称：山东省环境保护科学研究设计院有限公司</w:t>
      </w:r>
    </w:p>
    <w:p>
      <w:pPr>
        <w:numPr>
          <w:ilvl w:val="0"/>
          <w:numId w:val="1"/>
        </w:numPr>
        <w:ind w:left="0" w:leftChars="0" w:firstLine="0" w:firstLineChars="0"/>
        <w:rPr>
          <w:rFonts w:hint="default" w:ascii="Times New Roman" w:hAnsi="Times New Roman" w:cs="Times New Roman" w:eastAsiaTheme="minorEastAsia"/>
          <w:b/>
          <w:bCs/>
          <w:color w:val="000000" w:themeColor="text1"/>
          <w:sz w:val="28"/>
          <w:szCs w:val="28"/>
          <w14:textFill>
            <w14:solidFill>
              <w14:schemeClr w14:val="tx1"/>
            </w14:solidFill>
          </w14:textFill>
        </w:rPr>
      </w:pPr>
      <w:r>
        <w:rPr>
          <w:rFonts w:hint="default" w:ascii="Times New Roman" w:hAnsi="Times New Roman" w:cs="Times New Roman" w:eastAsiaTheme="minorEastAsia"/>
          <w:b/>
          <w:bCs/>
          <w:color w:val="000000" w:themeColor="text1"/>
          <w:sz w:val="28"/>
          <w:szCs w:val="28"/>
          <w14:textFill>
            <w14:solidFill>
              <w14:schemeClr w14:val="tx1"/>
            </w14:solidFill>
          </w14:textFill>
        </w:rPr>
        <w:t>公众意见表的网络链接</w:t>
      </w:r>
    </w:p>
    <w:p>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jc w:val="left"/>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t>请您至生态环境部网站自行下载《建设项目环境影响评价公众意见表》，将您的意见如实填写在《建设项目环境影响评价公众意见表》上。网址如下：</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http://www.mee.gov.cn/xxgk2018/xxgk/xxgk01/201810/t20181024_665329.html</w:t>
      </w:r>
    </w:p>
    <w:p>
      <w:pPr>
        <w:numPr>
          <w:ilvl w:val="0"/>
          <w:numId w:val="1"/>
        </w:numPr>
        <w:ind w:left="0" w:leftChars="0" w:firstLine="0" w:firstLineChars="0"/>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提交公众意见表的方式和途径</w:t>
      </w:r>
    </w:p>
    <w:p>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在环境影响报告书征求意见稿编制过程中，个人或单位可以通过信函、电子邮件、传真或其他方式向中国石油化工股份有限公司齐鲁分公司提出与环境影响评价相关的意见。</w:t>
      </w:r>
    </w:p>
    <w:p>
      <w:pPr>
        <w:keepNext w:val="0"/>
        <w:keepLines w:val="0"/>
        <w:pageBreakBefore w:val="0"/>
        <w:widowControl/>
        <w:numPr>
          <w:ilvl w:val="0"/>
          <w:numId w:val="0"/>
        </w:numPr>
        <w:kinsoku/>
        <w:wordWrap/>
        <w:overflowPunct/>
        <w:topLinePunct w:val="0"/>
        <w:autoSpaceDE/>
        <w:autoSpaceDN/>
        <w:bidi w:val="0"/>
        <w:adjustRightInd/>
        <w:snapToGrid/>
        <w:ind w:leftChars="0" w:firstLine="600" w:firstLineChars="200"/>
        <w:jc w:val="center"/>
        <w:textAlignment w:val="auto"/>
        <w:rPr>
          <w:rFonts w:hint="eastAsia" w:ascii="Times New Roman" w:hAnsi="Times New Roman" w:cs="Times New Roman" w:eastAsiaTheme="minorEastAsia"/>
          <w:b w:val="0"/>
          <w:bCs w:val="0"/>
          <w:sz w:val="30"/>
          <w:szCs w:val="30"/>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ind w:leftChars="0" w:firstLine="600" w:firstLineChars="200"/>
        <w:jc w:val="center"/>
        <w:textAlignment w:val="auto"/>
        <w:rPr>
          <w:rFonts w:hint="default" w:ascii="Times New Roman" w:hAnsi="Times New Roman" w:cs="Times New Roman" w:eastAsiaTheme="minorEastAsia"/>
          <w:b w:val="0"/>
          <w:bCs w:val="0"/>
          <w:sz w:val="30"/>
          <w:szCs w:val="30"/>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ind w:leftChars="0" w:firstLine="600" w:firstLineChars="200"/>
        <w:jc w:val="center"/>
        <w:textAlignment w:val="auto"/>
        <w:rPr>
          <w:rFonts w:hint="default" w:ascii="Times New Roman" w:hAnsi="Times New Roman" w:cs="Times New Roman" w:eastAsiaTheme="minorEastAsia"/>
          <w:b w:val="0"/>
          <w:bCs w:val="0"/>
          <w:sz w:val="30"/>
          <w:szCs w:val="30"/>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ind w:leftChars="0" w:firstLine="600" w:firstLineChars="200"/>
        <w:jc w:val="right"/>
        <w:textAlignment w:val="auto"/>
        <w:rPr>
          <w:rFonts w:hint="default" w:ascii="Times New Roman" w:hAnsi="Times New Roman" w:cs="Times New Roman" w:eastAsiaTheme="minorEastAsia"/>
          <w:b w:val="0"/>
          <w:bCs w:val="0"/>
          <w:sz w:val="30"/>
          <w:szCs w:val="30"/>
          <w:lang w:val="en-US" w:eastAsia="zh-CN"/>
        </w:rPr>
      </w:pPr>
      <w:r>
        <w:rPr>
          <w:rFonts w:hint="default" w:ascii="Times New Roman" w:hAnsi="Times New Roman" w:cs="Times New Roman" w:eastAsiaTheme="minorEastAsia"/>
          <w:b w:val="0"/>
          <w:bCs w:val="0"/>
          <w:sz w:val="30"/>
          <w:szCs w:val="30"/>
          <w:lang w:val="en-US" w:eastAsia="zh-CN"/>
        </w:rPr>
        <w:t>中国石油化工股份有限公司齐鲁分公司</w:t>
      </w:r>
    </w:p>
    <w:p>
      <w:pPr>
        <w:keepNext w:val="0"/>
        <w:keepLines w:val="0"/>
        <w:pageBreakBefore w:val="0"/>
        <w:widowControl/>
        <w:numPr>
          <w:ilvl w:val="0"/>
          <w:numId w:val="0"/>
        </w:numPr>
        <w:kinsoku/>
        <w:wordWrap/>
        <w:overflowPunct/>
        <w:topLinePunct w:val="0"/>
        <w:autoSpaceDE/>
        <w:autoSpaceDN/>
        <w:bidi w:val="0"/>
        <w:adjustRightInd/>
        <w:snapToGrid/>
        <w:ind w:leftChars="0" w:firstLine="600" w:firstLineChars="200"/>
        <w:jc w:val="center"/>
        <w:textAlignment w:val="auto"/>
        <w:rPr>
          <w:rFonts w:hint="default" w:ascii="Times New Roman" w:hAnsi="Times New Roman" w:cs="Times New Roman" w:eastAsiaTheme="minorEastAsia"/>
          <w:b w:val="0"/>
          <w:bCs w:val="0"/>
          <w:sz w:val="30"/>
          <w:szCs w:val="30"/>
          <w:highlight w:val="yellow"/>
          <w:lang w:val="en-US" w:eastAsia="zh-CN"/>
        </w:rPr>
      </w:pPr>
      <w:r>
        <w:rPr>
          <w:rFonts w:hint="eastAsia" w:ascii="Times New Roman" w:hAnsi="Times New Roman" w:cs="Times New Roman" w:eastAsiaTheme="minorEastAsia"/>
          <w:b w:val="0"/>
          <w:bCs w:val="0"/>
          <w:sz w:val="30"/>
          <w:szCs w:val="30"/>
          <w:highlight w:val="none"/>
          <w:lang w:val="en-US" w:eastAsia="zh-CN"/>
        </w:rPr>
        <w:t xml:space="preserve">                       </w:t>
      </w:r>
      <w:r>
        <w:rPr>
          <w:rFonts w:hint="default" w:ascii="Times New Roman" w:hAnsi="Times New Roman" w:cs="Times New Roman" w:eastAsiaTheme="minorEastAsia"/>
          <w:b w:val="0"/>
          <w:bCs w:val="0"/>
          <w:sz w:val="30"/>
          <w:szCs w:val="30"/>
          <w:highlight w:val="none"/>
          <w:lang w:val="en-US" w:eastAsia="zh-CN"/>
        </w:rPr>
        <w:t>202</w:t>
      </w:r>
      <w:r>
        <w:rPr>
          <w:rFonts w:hint="eastAsia" w:ascii="Times New Roman" w:hAnsi="Times New Roman" w:cs="Times New Roman" w:eastAsiaTheme="minorEastAsia"/>
          <w:b w:val="0"/>
          <w:bCs w:val="0"/>
          <w:sz w:val="30"/>
          <w:szCs w:val="30"/>
          <w:highlight w:val="none"/>
          <w:lang w:val="en-US" w:eastAsia="zh-CN"/>
        </w:rPr>
        <w:t>2</w:t>
      </w:r>
      <w:r>
        <w:rPr>
          <w:rFonts w:hint="default" w:ascii="Times New Roman" w:hAnsi="Times New Roman" w:cs="Times New Roman" w:eastAsiaTheme="minorEastAsia"/>
          <w:b w:val="0"/>
          <w:bCs w:val="0"/>
          <w:sz w:val="30"/>
          <w:szCs w:val="30"/>
          <w:highlight w:val="none"/>
          <w:lang w:val="en-US" w:eastAsia="zh-CN"/>
        </w:rPr>
        <w:t>年1月</w:t>
      </w:r>
      <w:r>
        <w:rPr>
          <w:rFonts w:hint="eastAsia" w:ascii="Times New Roman" w:hAnsi="Times New Roman" w:cs="Times New Roman" w:eastAsiaTheme="minorEastAsia"/>
          <w:b w:val="0"/>
          <w:bCs w:val="0"/>
          <w:sz w:val="30"/>
          <w:szCs w:val="30"/>
          <w:highlight w:val="none"/>
          <w:lang w:val="en-US" w:eastAsia="zh-CN"/>
        </w:rPr>
        <w:t>10</w:t>
      </w:r>
      <w:r>
        <w:rPr>
          <w:rFonts w:hint="default" w:ascii="Times New Roman" w:hAnsi="Times New Roman" w:cs="Times New Roman" w:eastAsiaTheme="minorEastAsia"/>
          <w:b w:val="0"/>
          <w:bCs w:val="0"/>
          <w:sz w:val="30"/>
          <w:szCs w:val="30"/>
          <w:highlight w:val="none"/>
          <w:lang w:val="en-US" w:eastAsia="zh-CN"/>
        </w:rPr>
        <w:t>日</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271E6"/>
    <w:multiLevelType w:val="singleLevel"/>
    <w:tmpl w:val="1A1271E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81A5EBD"/>
    <w:rsid w:val="0B6F7A74"/>
    <w:rsid w:val="0CEB7696"/>
    <w:rsid w:val="0E462DAC"/>
    <w:rsid w:val="11AF6BBD"/>
    <w:rsid w:val="1D8A2126"/>
    <w:rsid w:val="1DA470AB"/>
    <w:rsid w:val="1E58678A"/>
    <w:rsid w:val="1E9B0536"/>
    <w:rsid w:val="20ED1438"/>
    <w:rsid w:val="23232602"/>
    <w:rsid w:val="2CAF462D"/>
    <w:rsid w:val="2FC91AC3"/>
    <w:rsid w:val="3C9A7E6E"/>
    <w:rsid w:val="41AC61B4"/>
    <w:rsid w:val="43142C05"/>
    <w:rsid w:val="51530BD8"/>
    <w:rsid w:val="56B160F7"/>
    <w:rsid w:val="5BD90104"/>
    <w:rsid w:val="632D3EE0"/>
    <w:rsid w:val="649666AD"/>
    <w:rsid w:val="6E8D75DF"/>
    <w:rsid w:val="79D51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jc w:val="both"/>
    </w:pPr>
    <w:rPr>
      <w:rFonts w:ascii="Calibri" w:hAnsi="Calibri" w:eastAsia="宋体" w:cs="Times New Roman"/>
      <w:kern w:val="2"/>
      <w:sz w:val="21"/>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settings" Target="settings.xml"/><Relationship Id="rId6"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customXml" Target="../customXml/item1.xml"/><Relationship Id="rId9"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A2BF38-B4B8-4171-8BD0-223945F4C4D3}"/>
</file>

<file path=customXml/itemProps2.xml><?xml version="1.0" encoding="utf-8"?>
<ds:datastoreItem xmlns:ds="http://schemas.openxmlformats.org/officeDocument/2006/customXml" ds:itemID="{E0BF479F-0741-4AEA-A049-A6526DBB7C84}"/>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77423FE5-D83C-4E19-A916-28B8A383878D}"/>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二次方</cp:lastModifiedBy>
  <cp:revision>1</cp:revision>
  <dcterms:created xsi:type="dcterms:W3CDTF">2019-09-29T05:48:00Z</dcterms:created>
  <dcterms:modified xsi:type="dcterms:W3CDTF">2022-01-10T03:13:29Z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EE3805490E27412FA9DD6CDDF3533714</vt:lpwstr>
  </property>
  <property fmtid="{D5CDD505-2E9C-101B-9397-08002B2CF9AE}" pid="4" name="ContentTypeId">
    <vt:lpwstr>0x010100CCE80524CA74BF4EAD2AA22BFE10232B</vt:lpwstr>
  </property>
</Properties>
</file>